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250"/>
        <w:tblW w:w="0" w:type="auto"/>
        <w:tblCellMar>
          <w:left w:w="70" w:type="dxa"/>
          <w:right w:w="70" w:type="dxa"/>
        </w:tblCellMar>
        <w:tblLook w:val="04A0"/>
      </w:tblPr>
      <w:tblGrid>
        <w:gridCol w:w="2102"/>
        <w:gridCol w:w="579"/>
        <w:gridCol w:w="1925"/>
        <w:gridCol w:w="167"/>
      </w:tblGrid>
      <w:tr w:rsidR="00811E03" w:rsidTr="00811E03">
        <w:trPr>
          <w:trHeight w:val="1904"/>
        </w:trPr>
        <w:tc>
          <w:tcPr>
            <w:tcW w:w="4773" w:type="dxa"/>
            <w:gridSpan w:val="4"/>
          </w:tcPr>
          <w:p w:rsidR="00811E03" w:rsidRDefault="00811E0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1"/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811E03" w:rsidRDefault="00811E0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F0511F">
              <w:rPr>
                <w:rFonts w:ascii="Times New Roman" w:hAnsi="Times New Roman"/>
                <w:b/>
                <w:sz w:val="24"/>
                <w:szCs w:val="24"/>
              </w:rPr>
              <w:t>БЛАГОДАРНОВСКИЙ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 </w:t>
            </w:r>
          </w:p>
          <w:p w:rsidR="00811E03" w:rsidRDefault="00811E0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811E03" w:rsidRDefault="00811E0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ОРЕНБУРГСКОЙ ОБЛАСТИ</w:t>
            </w:r>
          </w:p>
          <w:p w:rsidR="00811E03" w:rsidRDefault="00811E0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1E03" w:rsidRDefault="00811E0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811E03" w:rsidRDefault="00811E0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1E03" w:rsidTr="00811E03">
        <w:trPr>
          <w:trHeight w:val="289"/>
        </w:trPr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E03" w:rsidRPr="0090624C" w:rsidRDefault="0090624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22.01.2021</w:t>
            </w:r>
          </w:p>
        </w:tc>
        <w:tc>
          <w:tcPr>
            <w:tcW w:w="579" w:type="dxa"/>
            <w:hideMark/>
          </w:tcPr>
          <w:p w:rsidR="00811E03" w:rsidRDefault="00811E0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1E03" w:rsidRDefault="0090624C" w:rsidP="00B2099B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F0511F">
              <w:rPr>
                <w:rFonts w:ascii="Times New Roman" w:hAnsi="Times New Roman"/>
                <w:sz w:val="28"/>
                <w:szCs w:val="28"/>
              </w:rPr>
              <w:t>/1-</w:t>
            </w:r>
            <w:r w:rsidR="00B20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1E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</w:tr>
      <w:tr w:rsidR="00811E03" w:rsidTr="00811E03">
        <w:trPr>
          <w:gridAfter w:val="1"/>
          <w:wAfter w:w="167" w:type="dxa"/>
          <w:trHeight w:val="248"/>
        </w:trPr>
        <w:tc>
          <w:tcPr>
            <w:tcW w:w="4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1E03" w:rsidRDefault="00811E03" w:rsidP="00F0511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r w:rsidR="00F0511F">
              <w:rPr>
                <w:rFonts w:ascii="Times New Roman" w:hAnsi="Times New Roman"/>
                <w:b/>
                <w:sz w:val="26"/>
                <w:szCs w:val="26"/>
              </w:rPr>
              <w:t>Благодарное</w:t>
            </w:r>
          </w:p>
        </w:tc>
      </w:tr>
      <w:tr w:rsidR="00811E03" w:rsidTr="00811E03">
        <w:trPr>
          <w:trHeight w:val="76"/>
        </w:trPr>
        <w:tc>
          <w:tcPr>
            <w:tcW w:w="4773" w:type="dxa"/>
            <w:gridSpan w:val="4"/>
          </w:tcPr>
          <w:p w:rsidR="00811E03" w:rsidRDefault="00811E0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811E03" w:rsidRDefault="00811E03" w:rsidP="00811E03">
      <w:pPr>
        <w:pStyle w:val="10"/>
        <w:keepNext/>
        <w:keepLines/>
        <w:shd w:val="clear" w:color="auto" w:fill="auto"/>
        <w:spacing w:before="0" w:after="900" w:line="322" w:lineRule="exact"/>
        <w:ind w:firstLine="0"/>
        <w:jc w:val="both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after="900" w:line="322" w:lineRule="exact"/>
        <w:ind w:left="360" w:firstLine="0"/>
        <w:jc w:val="center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357" w:firstLine="0"/>
        <w:jc w:val="center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357" w:firstLine="0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установления причин 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законодательства о </w:t>
      </w:r>
      <w:proofErr w:type="gramStart"/>
      <w:r>
        <w:rPr>
          <w:sz w:val="28"/>
          <w:szCs w:val="28"/>
        </w:rPr>
        <w:t>градостроительной</w:t>
      </w:r>
      <w:proofErr w:type="gramEnd"/>
      <w:r>
        <w:rPr>
          <w:sz w:val="28"/>
          <w:szCs w:val="28"/>
        </w:rPr>
        <w:t xml:space="preserve"> 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деятельности на территории </w:t>
      </w:r>
      <w:bookmarkEnd w:id="0"/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/>
        <w:ind w:left="20" w:right="20" w:firstLine="720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firstLine="68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62 Градостроительного кодекса Российской Федерации, частью 6 статьи 43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сельсовет:</w:t>
      </w:r>
    </w:p>
    <w:p w:rsidR="00811E03" w:rsidRDefault="00811E03" w:rsidP="00811E03">
      <w:pPr>
        <w:pStyle w:val="3"/>
        <w:numPr>
          <w:ilvl w:val="0"/>
          <w:numId w:val="1"/>
        </w:numPr>
        <w:tabs>
          <w:tab w:val="left" w:pos="1148"/>
        </w:tabs>
        <w:spacing w:before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(приложение № 1).</w:t>
      </w:r>
    </w:p>
    <w:p w:rsidR="00811E03" w:rsidRDefault="00811E03" w:rsidP="00811E03">
      <w:pPr>
        <w:pStyle w:val="3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(приложение № 2).</w:t>
      </w:r>
    </w:p>
    <w:p w:rsidR="00811E03" w:rsidRDefault="00811E03" w:rsidP="00811E03">
      <w:pPr>
        <w:pStyle w:val="3"/>
        <w:numPr>
          <w:ilvl w:val="0"/>
          <w:numId w:val="1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811E03" w:rsidRDefault="00811E03" w:rsidP="00811E03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tabs>
          <w:tab w:val="left" w:pos="1153"/>
        </w:tabs>
        <w:spacing w:before="0" w:line="240" w:lineRule="auto"/>
        <w:ind w:left="740" w:right="20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Глава </w:t>
      </w:r>
      <w:bookmarkEnd w:id="1"/>
      <w:r>
        <w:rPr>
          <w:sz w:val="28"/>
          <w:szCs w:val="28"/>
        </w:rPr>
        <w:t xml:space="preserve">администрации                                                          </w:t>
      </w:r>
      <w:r w:rsidR="00F0511F">
        <w:rPr>
          <w:sz w:val="28"/>
          <w:szCs w:val="28"/>
        </w:rPr>
        <w:t xml:space="preserve">В.В. </w:t>
      </w:r>
      <w:proofErr w:type="spellStart"/>
      <w:r w:rsidR="00F0511F">
        <w:rPr>
          <w:sz w:val="28"/>
          <w:szCs w:val="28"/>
        </w:rPr>
        <w:t>Ивасюк</w:t>
      </w:r>
      <w:proofErr w:type="spellEnd"/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20" w:right="-2" w:firstLine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архитектура, в дело</w:t>
      </w:r>
    </w:p>
    <w:p w:rsidR="00811E03" w:rsidRDefault="00811E03" w:rsidP="00811E03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/>
        <w:ind w:left="3320" w:right="320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№ 1 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11E03" w:rsidRDefault="00F0511F" w:rsidP="00811E03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Благодарновского</w:t>
      </w:r>
      <w:proofErr w:type="spellEnd"/>
      <w:r w:rsidR="00811E03">
        <w:rPr>
          <w:sz w:val="28"/>
          <w:szCs w:val="28"/>
        </w:rPr>
        <w:t xml:space="preserve"> сельсовета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556A" w:rsidRPr="0088556A">
        <w:rPr>
          <w:rStyle w:val="11"/>
          <w:sz w:val="28"/>
          <w:szCs w:val="28"/>
        </w:rPr>
        <w:t>22.01.</w:t>
      </w:r>
      <w:r w:rsidR="0088556A" w:rsidRPr="00F0511F">
        <w:rPr>
          <w:rStyle w:val="11"/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B20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099B" w:rsidRPr="00B2099B">
        <w:rPr>
          <w:sz w:val="28"/>
          <w:szCs w:val="28"/>
          <w:u w:val="single"/>
        </w:rPr>
        <w:t>3</w:t>
      </w:r>
      <w:r w:rsidR="00F0511F">
        <w:rPr>
          <w:sz w:val="28"/>
          <w:szCs w:val="28"/>
          <w:u w:val="single"/>
        </w:rPr>
        <w:t>/1-</w:t>
      </w:r>
      <w:r w:rsidR="00B2099B" w:rsidRPr="00B2099B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B2099B" w:rsidRPr="00B2099B">
        <w:rPr>
          <w:sz w:val="28"/>
          <w:szCs w:val="28"/>
          <w:u w:val="single"/>
        </w:rPr>
        <w:t>п</w:t>
      </w:r>
      <w:proofErr w:type="spellEnd"/>
      <w:proofErr w:type="gramEnd"/>
      <w:r w:rsidR="00B2099B">
        <w:rPr>
          <w:sz w:val="28"/>
          <w:szCs w:val="28"/>
          <w:u w:val="single"/>
        </w:rPr>
        <w:t xml:space="preserve">  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  <w:bookmarkStart w:id="2" w:name="bookmark3"/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811E03" w:rsidRDefault="00811E03" w:rsidP="00811E03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установления причин нарушения законодательства о </w:t>
      </w:r>
    </w:p>
    <w:p w:rsidR="00811E03" w:rsidRDefault="00811E03" w:rsidP="00811E03">
      <w:pPr>
        <w:pStyle w:val="10"/>
        <w:keepNext/>
        <w:keepLines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 на территории</w:t>
      </w:r>
      <w:bookmarkEnd w:id="2"/>
      <w: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F0511F">
        <w:rPr>
          <w:b/>
          <w:sz w:val="28"/>
          <w:szCs w:val="28"/>
        </w:rPr>
        <w:t>Благодарновский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left="80" w:firstLine="0"/>
        <w:jc w:val="center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1. Общие положения</w:t>
      </w:r>
      <w:bookmarkEnd w:id="3"/>
    </w:p>
    <w:p w:rsidR="00811E03" w:rsidRDefault="00811E03" w:rsidP="00811E03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(далее - Порядок) разработан на основании главы 8 Градостроительного кодекса Российской Федерации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порядок образования и деятельности технической комиссии и распространяется</w:t>
      </w:r>
      <w:proofErr w:type="gramEnd"/>
      <w:r>
        <w:rPr>
          <w:sz w:val="28"/>
          <w:szCs w:val="28"/>
        </w:rPr>
        <w:t xml:space="preserve"> на случаи, предусмотренные частью 4 статьи 62 Градостроительного кодекса.</w:t>
      </w:r>
    </w:p>
    <w:p w:rsidR="00811E03" w:rsidRDefault="00811E03" w:rsidP="00811E03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Установление причин нарушения законодательства о градостроительной деятельности осуществляется в целях:</w:t>
      </w:r>
    </w:p>
    <w:p w:rsidR="00811E03" w:rsidRDefault="00811E03" w:rsidP="00811E03">
      <w:pPr>
        <w:pStyle w:val="3"/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устранения нарушений законодательства о градостроительной деятельности;</w:t>
      </w:r>
    </w:p>
    <w:p w:rsidR="00811E03" w:rsidRDefault="00811E03" w:rsidP="00811E03">
      <w:pPr>
        <w:pStyle w:val="3"/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определения лиц, которым причинен вред в результате нарушения законодательства о градостроительной деятельности;</w:t>
      </w:r>
    </w:p>
    <w:p w:rsidR="00811E03" w:rsidRDefault="00811E03" w:rsidP="00811E03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811E03" w:rsidRDefault="00811E03" w:rsidP="00811E03">
      <w:pPr>
        <w:pStyle w:val="3"/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определения мероприятий по восстановлению благоприятных условий для жизнедеятельности граждан;</w:t>
      </w:r>
    </w:p>
    <w:p w:rsidR="00811E03" w:rsidRDefault="00811E03" w:rsidP="00811E03">
      <w:pPr>
        <w:pStyle w:val="3"/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811E03" w:rsidRDefault="00811E03" w:rsidP="00811E03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811E03" w:rsidRDefault="00811E03" w:rsidP="00811E03">
      <w:pPr>
        <w:pStyle w:val="10"/>
        <w:keepNext/>
        <w:keepLines/>
        <w:shd w:val="clear" w:color="auto" w:fill="auto"/>
        <w:tabs>
          <w:tab w:val="left" w:pos="9637"/>
        </w:tabs>
        <w:spacing w:before="0" w:line="240" w:lineRule="auto"/>
        <w:ind w:right="-2" w:firstLine="0"/>
        <w:jc w:val="center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lastRenderedPageBreak/>
        <w:t>2. Порядок установления причин нарушения законодательства о градостроительной деятельности</w:t>
      </w:r>
      <w:bookmarkEnd w:id="4"/>
    </w:p>
    <w:p w:rsidR="00811E03" w:rsidRDefault="00811E03" w:rsidP="00811E03">
      <w:pPr>
        <w:pStyle w:val="3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Причины нарушения законодательства о градостроительной деятельности, а также определение </w:t>
      </w:r>
      <w:proofErr w:type="gramStart"/>
      <w:r>
        <w:rPr>
          <w:sz w:val="28"/>
          <w:szCs w:val="28"/>
        </w:rPr>
        <w:t xml:space="preserve">лиц, допустивших такое нарушение законодательства о градостроительной деятельности на территории муниципального образования </w:t>
      </w:r>
      <w:r w:rsidR="00B2099B">
        <w:rPr>
          <w:sz w:val="28"/>
          <w:szCs w:val="28"/>
        </w:rPr>
        <w:t xml:space="preserve">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 сельсовет </w:t>
      </w:r>
      <w:r w:rsidR="00B2099B">
        <w:rPr>
          <w:sz w:val="28"/>
          <w:szCs w:val="28"/>
        </w:rPr>
        <w:t xml:space="preserve"> </w:t>
      </w:r>
      <w:r>
        <w:rPr>
          <w:sz w:val="28"/>
          <w:szCs w:val="28"/>
        </w:rPr>
        <w:t>Ташлинского района Оренбургской области устанавливаются</w:t>
      </w:r>
      <w:proofErr w:type="gramEnd"/>
      <w:r>
        <w:rPr>
          <w:sz w:val="28"/>
          <w:szCs w:val="28"/>
        </w:rPr>
        <w:t xml:space="preserve"> технической комиссией, созданной администрацией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 w:rsidR="00F0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811E03" w:rsidRDefault="00811E03" w:rsidP="00811E03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Поводом для рассмотрения администрацией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вопроса об образовании комиссии являются полученные администрацией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заявление от физического и (или) юридического лица либо их представителей о причинении вреда, поданное в администрацию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811E03" w:rsidRDefault="00811E03" w:rsidP="00811E03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формирования.</w:t>
      </w:r>
    </w:p>
    <w:p w:rsidR="00811E03" w:rsidRDefault="00811E03" w:rsidP="00811E03">
      <w:pPr>
        <w:pStyle w:val="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утверждается состав технической комиссии, устанавливается цель, срок работы технической комиссии. Срок работы комиссии не должен превышать срока установления причин нарушений законодательства о градостроительной деятельности - два месяца. Техническая комиссия создается по каждому отдельному случаю.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выполнения работ по строительству, реконструкции, капитальному ремонту объекта капитального строительства;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72"/>
        </w:tabs>
        <w:spacing w:before="0"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отсутствие вреда имуществу физического и (или) юридического лица;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811E03" w:rsidRDefault="00811E03" w:rsidP="00811E03">
      <w:pPr>
        <w:pStyle w:val="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По итогам деятельности технической комиссии, в установленный распоряжением о её создании срок, технической комиссией осуществляется подготовка заключения, содержащего следующие выводы: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 причинах нарушения законодательства, в результате которого был причинён вред жизни или здоровью физических лиц, имуществу физических или юридических лиц, и его размерах;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52"/>
        </w:tabs>
        <w:spacing w:before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>об обстоятельствах, указывающих на виновность лиц;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811E03" w:rsidRDefault="00811E03" w:rsidP="00811E03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:rsidR="00811E03" w:rsidRDefault="00811E03" w:rsidP="00811E03">
      <w:pPr>
        <w:pStyle w:val="3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заключения технической комиссии и с учётом её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муниципального </w:t>
      </w:r>
      <w:r>
        <w:rPr>
          <w:sz w:val="28"/>
          <w:szCs w:val="28"/>
        </w:rPr>
        <w:lastRenderedPageBreak/>
        <w:t xml:space="preserve">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  <w:proofErr w:type="gramEnd"/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61011F" w:rsidRDefault="0061011F" w:rsidP="00811E03">
      <w:pPr>
        <w:pStyle w:val="3"/>
        <w:shd w:val="clear" w:color="auto" w:fill="auto"/>
        <w:spacing w:before="0" w:line="240" w:lineRule="auto"/>
        <w:ind w:left="4560" w:right="3060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 w:right="-2"/>
        <w:jc w:val="right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F0511F">
        <w:rPr>
          <w:sz w:val="28"/>
          <w:szCs w:val="28"/>
        </w:rPr>
        <w:t>Благодарновского</w:t>
      </w:r>
      <w:proofErr w:type="spellEnd"/>
      <w:r w:rsidR="006101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811E03" w:rsidRPr="00B2099B" w:rsidRDefault="00811E03" w:rsidP="00811E03">
      <w:pPr>
        <w:pStyle w:val="3"/>
        <w:shd w:val="clear" w:color="auto" w:fill="auto"/>
        <w:spacing w:before="0" w:line="240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88556A" w:rsidRPr="0088556A">
        <w:rPr>
          <w:rStyle w:val="2"/>
          <w:sz w:val="28"/>
          <w:szCs w:val="28"/>
        </w:rPr>
        <w:t>22</w:t>
      </w:r>
      <w:r w:rsidR="0088556A">
        <w:rPr>
          <w:rStyle w:val="2"/>
          <w:sz w:val="28"/>
          <w:szCs w:val="28"/>
        </w:rPr>
        <w:t>.01.2021</w:t>
      </w:r>
      <w:r w:rsidR="00B2099B">
        <w:rPr>
          <w:sz w:val="28"/>
          <w:szCs w:val="28"/>
        </w:rPr>
        <w:t xml:space="preserve"> №</w:t>
      </w:r>
      <w:r w:rsidR="00B2099B">
        <w:rPr>
          <w:sz w:val="28"/>
          <w:szCs w:val="28"/>
          <w:u w:val="single"/>
        </w:rPr>
        <w:t xml:space="preserve"> 3</w:t>
      </w:r>
      <w:r w:rsidR="00F0511F">
        <w:rPr>
          <w:sz w:val="28"/>
          <w:szCs w:val="28"/>
          <w:u w:val="single"/>
        </w:rPr>
        <w:t>/1-</w:t>
      </w:r>
      <w:r w:rsidR="00B2099B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="00B2099B">
        <w:rPr>
          <w:sz w:val="28"/>
          <w:szCs w:val="28"/>
          <w:u w:val="single"/>
        </w:rPr>
        <w:t>п</w:t>
      </w:r>
      <w:proofErr w:type="spellEnd"/>
      <w:proofErr w:type="gramEnd"/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4560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 xml:space="preserve">Положение 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технической комиссии по установлению причин нарушения законодательства о градостроительной деятельности на территории </w:t>
      </w:r>
      <w:bookmarkEnd w:id="5"/>
      <w:r>
        <w:rPr>
          <w:sz w:val="28"/>
          <w:szCs w:val="28"/>
        </w:rPr>
        <w:t xml:space="preserve">муниципального образования 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811E03" w:rsidRDefault="00811E03" w:rsidP="00811E03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Техническая комиссия по установлению причин нарушения законодательства о градостроительной деятельности на территории муниципального образования </w:t>
      </w:r>
      <w:r w:rsidR="00B2099B">
        <w:rPr>
          <w:sz w:val="28"/>
          <w:szCs w:val="28"/>
        </w:rPr>
        <w:t xml:space="preserve">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(далее - техническая комиссия) не является постоянно действующим органом и создаётся в каждом отдельном случае.</w:t>
      </w:r>
    </w:p>
    <w:p w:rsidR="00811E03" w:rsidRDefault="00811E03" w:rsidP="00811E03">
      <w:pPr>
        <w:pStyle w:val="3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Техническую комиссию возглавляет глава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 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причинён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  <w:proofErr w:type="gramEnd"/>
    </w:p>
    <w:p w:rsidR="00811E03" w:rsidRDefault="00811E03" w:rsidP="00811E03">
      <w:pPr>
        <w:pStyle w:val="3"/>
        <w:numPr>
          <w:ilvl w:val="1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Заседание технической комиссии считается правомочным, если в нём принимают участие не менее половины членов комиссии. В случае отсутствия члена комиссии на заседании он имеет право изложить свое мнение в письменной форме.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</w:t>
      </w:r>
      <w:r>
        <w:rPr>
          <w:sz w:val="28"/>
          <w:szCs w:val="28"/>
        </w:rPr>
        <w:lastRenderedPageBreak/>
        <w:t>членов комиссии голос председательствующего на заседании является решающим.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811E03" w:rsidRDefault="00811E03" w:rsidP="00811E03">
      <w:pPr>
        <w:pStyle w:val="3"/>
        <w:numPr>
          <w:ilvl w:val="2"/>
          <w:numId w:val="3"/>
        </w:numPr>
        <w:shd w:val="clear" w:color="auto" w:fill="auto"/>
        <w:tabs>
          <w:tab w:val="left" w:pos="1148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811E03" w:rsidRDefault="00811E03" w:rsidP="00811E03">
      <w:pPr>
        <w:pStyle w:val="3"/>
        <w:numPr>
          <w:ilvl w:val="2"/>
          <w:numId w:val="3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811E03" w:rsidRDefault="00811E03" w:rsidP="00811E03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осуществляет проверку исполнительной документации по объекту строительства;</w:t>
      </w:r>
    </w:p>
    <w:p w:rsidR="00811E03" w:rsidRDefault="00811E03" w:rsidP="00811E03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811E03" w:rsidRDefault="00811E03" w:rsidP="00811E03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811E03" w:rsidRDefault="00811E03" w:rsidP="00811E03">
      <w:pPr>
        <w:pStyle w:val="3"/>
        <w:numPr>
          <w:ilvl w:val="2"/>
          <w:numId w:val="3"/>
        </w:numPr>
        <w:shd w:val="clear" w:color="auto" w:fill="auto"/>
        <w:tabs>
          <w:tab w:val="left" w:pos="1162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811E03" w:rsidRDefault="00811E03" w:rsidP="00811E03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811E03" w:rsidRDefault="00811E03" w:rsidP="00811E03">
      <w:pPr>
        <w:pStyle w:val="3"/>
        <w:numPr>
          <w:ilvl w:val="2"/>
          <w:numId w:val="3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предпринимает все необходимые действия для установления причин нарушения законодательства о градостроительстве.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Техническая комиссия имеет право: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проводить осмотр объекта капитального строительства, а также имущества физических или юридических лиц, которым причинён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67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 </w:t>
      </w:r>
      <w:r>
        <w:rPr>
          <w:sz w:val="28"/>
          <w:szCs w:val="28"/>
        </w:rPr>
        <w:lastRenderedPageBreak/>
        <w:t>строительного проектирования объекта капитального строительства и иные документы, материалы и сведения;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получать от физических и (или) юридических лиц объяснения по факту причинения вреда;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организовывать проведение экспертиз, исследований, лабораторных и иных испытаний, а также оценки размера причинённого вреда.</w:t>
      </w:r>
    </w:p>
    <w:p w:rsidR="00811E03" w:rsidRDefault="00811E03" w:rsidP="00811E03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её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>
        <w:rPr>
          <w:sz w:val="28"/>
          <w:szCs w:val="28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>
        <w:rPr>
          <w:sz w:val="28"/>
          <w:szCs w:val="28"/>
        </w:rPr>
        <w:t xml:space="preserve"> действий, необходимых для реализации функций.</w:t>
      </w:r>
    </w:p>
    <w:p w:rsidR="00811E03" w:rsidRDefault="00811E03" w:rsidP="00811E03">
      <w:pPr>
        <w:pStyle w:val="3"/>
        <w:numPr>
          <w:ilvl w:val="1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технической комиссии возлагается на главу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области, который осуществляет: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своевременную подготовку проектов распоряжений администрации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 w:rsidR="00F0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о создании технической комиссии и об утверждении её заключения;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27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меры по опубликованию заключения технической комиссии.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об обстоятельствах, указывающих на виновность лиц;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учётом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>В срок не более пяти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Копия заключения технической комиссии в течение пяти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утверждения направляется (вручается):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4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>физическому и (или) юридическому лицу, которому причинён вред;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технической комиссии;</w:t>
      </w:r>
    </w:p>
    <w:p w:rsidR="00811E03" w:rsidRDefault="00811E03" w:rsidP="00811E03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представителям граждан и их объединений - по их письменным запросам.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заключения технической комиссии и с учётом её рекомендации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</w:t>
      </w:r>
      <w:r>
        <w:rPr>
          <w:sz w:val="28"/>
          <w:szCs w:val="28"/>
        </w:rPr>
        <w:lastRenderedPageBreak/>
        <w:t xml:space="preserve">срок предоставляет отчет о мероприятиях в администрацию муниципального образования </w:t>
      </w:r>
      <w:proofErr w:type="spellStart"/>
      <w:r w:rsidR="00F0511F"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  <w:proofErr w:type="gramEnd"/>
    </w:p>
    <w:p w:rsidR="00811E03" w:rsidRDefault="00811E03" w:rsidP="00811E03">
      <w:pPr>
        <w:pStyle w:val="3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811E03" w:rsidRDefault="00811E03" w:rsidP="00811E03">
      <w:pPr>
        <w:pStyle w:val="3"/>
        <w:shd w:val="clear" w:color="auto" w:fill="auto"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Учёт и хранение заключений технической комиссии осуществляется в архиве администрации муниципального образования </w:t>
      </w:r>
      <w:r w:rsidR="00F0511F">
        <w:rPr>
          <w:sz w:val="28"/>
          <w:szCs w:val="28"/>
        </w:rPr>
        <w:t>Благодарновский</w:t>
      </w:r>
      <w:r>
        <w:rPr>
          <w:sz w:val="28"/>
          <w:szCs w:val="28"/>
        </w:rPr>
        <w:t xml:space="preserve"> сельсовет Ташлинского района Оренбургской области.</w:t>
      </w:r>
    </w:p>
    <w:p w:rsidR="00811E03" w:rsidRDefault="00811E03" w:rsidP="00811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A8D" w:rsidRDefault="00DB0A8D"/>
    <w:sectPr w:rsidR="00DB0A8D" w:rsidSect="00DB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52D"/>
    <w:multiLevelType w:val="multilevel"/>
    <w:tmpl w:val="479A74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2AA7CFA"/>
    <w:multiLevelType w:val="multilevel"/>
    <w:tmpl w:val="8CFC4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FA46B00"/>
    <w:multiLevelType w:val="multilevel"/>
    <w:tmpl w:val="8070B94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794CB0"/>
    <w:multiLevelType w:val="multilevel"/>
    <w:tmpl w:val="7116F6F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E03"/>
    <w:rsid w:val="0023400C"/>
    <w:rsid w:val="0061011F"/>
    <w:rsid w:val="006F7692"/>
    <w:rsid w:val="00811E03"/>
    <w:rsid w:val="0088556A"/>
    <w:rsid w:val="0090624C"/>
    <w:rsid w:val="00B2099B"/>
    <w:rsid w:val="00B415DD"/>
    <w:rsid w:val="00C241D4"/>
    <w:rsid w:val="00DB0A8D"/>
    <w:rsid w:val="00EA217A"/>
    <w:rsid w:val="00F0511F"/>
    <w:rsid w:val="00FC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11E0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11E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811E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11E03"/>
    <w:pPr>
      <w:shd w:val="clear" w:color="auto" w:fill="FFFFFF"/>
      <w:spacing w:before="120" w:after="0" w:line="326" w:lineRule="exact"/>
      <w:ind w:hanging="1760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_"/>
    <w:basedOn w:val="a0"/>
    <w:link w:val="3"/>
    <w:locked/>
    <w:rsid w:val="00811E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811E03"/>
    <w:pPr>
      <w:shd w:val="clear" w:color="auto" w:fill="FFFFFF"/>
      <w:spacing w:before="9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811E03"/>
    <w:rPr>
      <w:u w:val="single"/>
    </w:rPr>
  </w:style>
  <w:style w:type="character" w:customStyle="1" w:styleId="2">
    <w:name w:val="Основной текст2"/>
    <w:basedOn w:val="a5"/>
    <w:rsid w:val="00811E0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2021-01-22T06:54:00Z</cp:lastPrinted>
  <dcterms:created xsi:type="dcterms:W3CDTF">2021-01-22T06:55:00Z</dcterms:created>
  <dcterms:modified xsi:type="dcterms:W3CDTF">2021-07-06T07:05:00Z</dcterms:modified>
</cp:coreProperties>
</file>